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469"/>
      </w:tblGrid>
      <w:tr w:rsidR="00071E85" w:rsidRPr="00071E85" w:rsidTr="00071E85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071E85" w:rsidRPr="00071E85" w:rsidRDefault="00071E85" w:rsidP="000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46D838" wp14:editId="28E1B3C9">
                  <wp:extent cx="941705" cy="347980"/>
                  <wp:effectExtent l="0" t="0" r="0" b="0"/>
                  <wp:docPr id="130" name="Kép 130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1E85" w:rsidRPr="00071E85" w:rsidRDefault="00071E85" w:rsidP="0007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E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5BAFEE2" wp14:editId="21D10E47">
                  <wp:extent cx="225425" cy="238760"/>
                  <wp:effectExtent l="0" t="0" r="3175" b="8890"/>
                  <wp:docPr id="129" name="Kép 129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E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C1D7C1A" wp14:editId="422EE822">
                  <wp:extent cx="225425" cy="238760"/>
                  <wp:effectExtent l="0" t="0" r="3175" b="8890"/>
                  <wp:docPr id="128" name="Kép 128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E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8C2F67" wp14:editId="49034E18">
                  <wp:extent cx="225425" cy="238760"/>
                  <wp:effectExtent l="0" t="0" r="3175" b="8890"/>
                  <wp:docPr id="127" name="Kép 127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E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71E85" w:rsidRPr="00071E85" w:rsidRDefault="00071E85" w:rsidP="00071E85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91/2012. (VIII. 29.) VM rendelet</w:t>
      </w:r>
    </w:p>
    <w:p w:rsidR="00071E85" w:rsidRPr="00071E85" w:rsidRDefault="00071E85" w:rsidP="00071E85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 2014.04.30 -</w:t>
      </w:r>
    </w:p>
    <w:p w:rsidR="00071E85" w:rsidRPr="00071E85" w:rsidRDefault="00071E85" w:rsidP="00071E85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91/2012. (VIII. 29.) VM rendelet</w:t>
      </w:r>
    </w:p>
    <w:p w:rsidR="00071E85" w:rsidRPr="00071E85" w:rsidRDefault="00071E85" w:rsidP="00071E85">
      <w:pPr>
        <w:spacing w:after="3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szőlő- és gyümölcsös ültetvények műveléséhez nyújtott csekély összegű (de minimis) támogatásról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mezőgazdasági, agrár-vidékfejlesztési, valamint a halászati támogatásokhoz és egyéb intézkedésekhez kapcsolódó eljárás egyes kérdéseiről szóló 2007. évi XVII. törvény 81. § (4) bekezdésében kapott felhatalmazás alapján – az egyes miniszterek, valamint a Miniszterelnökséget vezető államtitkár feladat- és hatásköréről szóló 212/2010. (VII. 1.) Korm. rendelet 94. §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és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pontjában meghatározott feladatkörömben eljárva – a következőket rendelem el: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Értelmező rendelkezések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 rendelet alkalmazásában: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bookmarkStart w:id="1" w:name="foot_1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mezőgazdasági de minimis támogatás: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Európai Unió működéséről szóló szerződés 107. és 108. cikkének a mezőgazdasági ágazatban nyújtott csekély összegű támogatásokra való alkalmazásáról szóló, 2013. december 18-i 1408/2013/EU bizottsági rendelet szerinti támogatás;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bookmarkStart w:id="2" w:name="foot_2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"foot2"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2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2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mezőgazdasági termelő: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a Magyarországon bejelentett lakóhellyel vagy székhellyel, telephellyel rendelkező, a mezőgazdasági, agrár-vidékfejlesztési, valamint a halászati támogatásokhoz és egyéb intézkedésekhez kapcsolódó eljárás egyes kérdéseiről szóló 2007. évi XVII. törvényben (a továbbiakban: eljárási törvény) meghatározottak szerint kérelemre nyilvántartásba vett természetes személy, jogi személy vagy jogi személyiséggel nem rendelkező szervezet, aki vagy amely Magyarország területén termőföldet külön jogszabályban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meghatározottak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szerinti érvényes jogcím alapján használ;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bookmarkStart w:id="3" w:name="foot_3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"foot3"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3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3"/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bookmarkStart w:id="4" w:name="foot_4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"foot4"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4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4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támogatási kérelem: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mezőgazdaságban felhasznált gázolaj utáni jövedékiadó-visszatérítés feltételeiről és szabályairól szóló 341/2007. (XII. 15.) Korm. rendelet [a továbbiakban: 341/2007. (XII. 15.) Korm. rendelet] 5. § (1) bekezdés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éves, valamint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IV. negyedévre vonatkozó adóbevallási nyomtatvány részeként benyújtott mezőgazdasági de minimis támogatás iránti kérelem;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e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tárgyév: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gázolaj vásárlásáról vagy a gépi bérmunka-szolgáltatás igénybevételéről a mezőgazdasági termelő saját nevére szóló számlákkal alátámasztott gázolaj-felhasználás – a támogatási kérelem benyújtásának évét megelőző – éve.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támogatás célja, jellege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E rendelet alapján vissza nem térítendő támogatás igényelhető a szőlő- és gyümölcsös ültetvények művelése során felhasznált gázolajhoz.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(2) Az e rendelet alapján nyújtott támogatás mezőgazdasági de minimis támogatásnak minősül.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támogatás igénybevételének feltételei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szőlő- és gyümölcsös ültetvények művelése során történő gázolaj-felhasználáshoz támogatást vehet igénybe az a mezőgazdasági termelő, aki: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legalább 0,5 hektár területű ültetvényen a földhasználati nyilvántartás részletes szabályairól szóló jogszabály szerinti földhasználati nyilvántartásba földhasználóként bejegyzett ügyfélként szőlő-, illetve gyümölcstermesztést folytat, beleértve azt a legalább 0,5 hektár területű ültetvényen szőlő-, illetve gyümölcstermesztést folytató ügyfelet is, akinek földhasználati joga önhibáján kívüli okból nem került a földhasználati nyilvántartásba bejegyzésre és a földhasználati jogosultságát igazoló egyéb okirattal rendelkezik;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bookmarkStart w:id="5" w:name="foot_5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"foot5"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5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5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gázolaj vásárlásáról vagy a gépi bérmunka-szolgáltatás igénybevételéről saját nevére szóló számlával rendelkezik, és akinek a 341/2007. (XII. 15.) Korm. rendelet szerint keletkezett, a tárgyév egészére vonatkozóan benyújtott teljes adó-visszatérítési igényét a Nemzeti Adó- és Vámhivatal vámszerve (a továbbiakban: vámhatóság) jóváhagyta;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támogatási kérelem vámhatóság részére történő benyújtásának időpontjában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nem rendelkezik az állami adó- és vámhatóság, vagy a – székhelye, lakóhelye, vagy a helyi adókról szóló 1990. évi C. törvény szerinti telephelye szerinti – önkormányzati adóhatóság által nyilvántartott lejárt köztartozással, kivéve, ha az állami adó- és vámhatóság vagy az önkormányzati adóhatóság számára fizetési halasztást vagy részletfizetést engedélyezett,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nem áll felszámolási, végelszámolási, adósságrendezési eljárás alatt, vagy természetes személy esetén vele szemben gazdálkodási tevékenységével összefüggő végrehajtási eljárás nincs folyamatban,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cc)</w:t>
      </w:r>
      <w:bookmarkStart w:id="6" w:name="foot_6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"foot6"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6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6"/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támogatás összege és forrása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támogatás összege a szőlő- és a gyümölcsös ültetvényterületen a tárgyévben ténylegesen felhasznált, a (2) bekezdés szerinti gázolaj mennyisége után literenként kilencvenöt forint.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támogatás összegének megállapításánál kizárólag a jövedéki adóról és a jövedéki termékek forgalmazásának különös szabályairól szóló 2003. évi CXXVII. törvény 129. § (1) bekezdésének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pontjában meghatározott kilencvenhét liter/hektár/év mennyiségen felüli, számlával igazolt gázolaj mennyisége, de hektáronként évente legfeljebb száz liter vehető figyelembe.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támogatás forrása a Vidékfejlesztési Minisztérium fejezeti kezelésű, Folyó kiadások és jövedelemtámogatások előirányzat-felhasználási keretszámla, száma: 10032000-01220191-51200002.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(4) A támogatási összeg euróra történő átszámításakor a támogatási kérelem vámhatósághoz történő benyújtása hónapjának első napján érvényes, az Európai 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Központi Bank által közzétett, két tizedesjegy pontossággal meghatározott EUR/HUF deviza középárfolyamot kell alkalmazni.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támogatás igénylése és kifizetése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</w:t>
      </w:r>
      <w:bookmarkStart w:id="7" w:name="foot_7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"foot7"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7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7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támogatási kérelem kizárólag a tárgyévet követő évben évente egyszer,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341/2007. (XII. 15.) Korm. rendelet 5. § (1) bekezdés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éves adóbevallási nyomtatvány részeként, vagy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341/2007. (XII. 15.) Korm. rendelet 5. § (1) bekezdés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IV. negyedéves adóbevallási nyomtatvány részeként nyújtható be.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</w:t>
      </w:r>
      <w:bookmarkStart w:id="8" w:name="foot_8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"foot8"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8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8"/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mezőgazdasági termelőnek az 1. melléklet szerinti adattartalmú támogatási kérelmén nyilatkoznia kell arról, hogy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nem rendelkezik az állami adó- és vámhatóság, vagy a – székhelye, lakóhelye, vagy a helyi adókról szóló 1990. évi C. törvény szerinti telephelye szerinti – önkormányzati adóhatóság által nyilvántartott lejárt köztartozással kivéve, ha az állami adó- és vámhatóság vagy az önkormányzati adóhatóság a számára fizetési halasztást vagy részletfizetést engedélyezett,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nem áll felszámolási, végelszámolási, adósságrendezési eljárás alatt, vagy természetes személy esetén vele szemben gazdasági tevékenységével összefüggő végrehajtási eljárás nincs folyamatban,</w:t>
      </w:r>
    </w:p>
    <w:p w:rsidR="00071E85" w:rsidRPr="00071E85" w:rsidRDefault="00071E85" w:rsidP="00071E85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bookmarkStart w:id="9" w:name="foot_9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"foot9"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9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9"/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tárgyévben felhasznált gázolaj vásárlásáról vagy a gépi bérmunka-szolgáltatás igénybevételéről saját nevére szóló eredeti számlák a rendelkezésére állnak,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e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hozzájárul, hogy a támogatási kérelemhez kapcsolódó eljárás során a vámhatóság a 341/2007. (XII. 15.) Korm. rendelet alapján a támogatási kérelem adatait és a részére folyósított adó-visszatérítéssel kapcsolatos adatokat további felhasználás és az eljáráshoz kapcsolódó ellenőrzés céljából átadja a Mezőgazdasági és Vidékfejlesztési Hivatal (a továbbiakban: MVH) részére,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f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tudomásul veszi, hogy amennyiben az intézkedéssel kapcsolatos lejárt tartozását nem egyenlíti ki, úgy az eljárási törvény 38. § (9) bekezdése alapján a fizetési számláját vezető pénzforgalmi szolgáltató az MVH hatósági átutalási megbízását a végrehajtható okirat csatolása nélkül köteles teljesíteni.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</w:t>
      </w:r>
      <w:bookmarkStart w:id="10" w:name="foot_10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"foot10"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10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0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mezőgazdasági termelő támogatásra akkor jogosult, ha megfelel az agrár- és vidékfejlesztési állami támogatásokkal kapcsolatos egyes eljárási kérdésekről szóló 353/2012. (XII. 13.) Korm. rendelet 11/</w:t>
      </w: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§-ában meghatározott feltételeknek.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5/A. §</w:t>
      </w:r>
      <w:bookmarkStart w:id="11" w:name="foot_11_place"/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"foot11" </w:instrText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b/>
          <w:bCs/>
          <w:color w:val="0000FF"/>
          <w:sz w:val="27"/>
          <w:szCs w:val="27"/>
          <w:u w:val="single"/>
          <w:vertAlign w:val="superscript"/>
          <w:lang w:eastAsia="hu-HU"/>
        </w:rPr>
        <w:t>11</w:t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1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a mezőgazdasági termelő, aki a 2012. január 1. és december 31. közötti időszakban ténylegesen felhasznált gázolaj utáni jövedékiadó-visszatérítés iránti kérelmét a 341/2007. (XII. 15.) Korm. rendelet 5. § (1) bekezdés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gyakorított bevallás formájában nyújtotta be, e rendelet alapján nyújtott mezőgazdasági de minimis támogatást jogosult igényelni.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(1) bekezdésben foglalt támogatás igénylése és elbírálása esetén a (3) bekezdésben foglaltak kivételével az e rendeletben foglaltak alapján kell eljárni.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(3) Az (1) bekezdés szerinti mezőgazdasági termelő a 2012. évre vonatkozó de minimis támogatási kérelmét 2014. április 14. és 2014. május 31. közötti időszakban, az MVH által rendszeresített és honlapján közzétett nyomtatványon, papír alapon az MVH-hoz nyújthatja be.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6.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MVH a vámhatóság által a támogatási összeg kiszámításához szükséges, a 341/2007. (XII. 15.) Korm. rendelet 5. § (4) bekezdése alapján továbbított, az 1. melléklet szerinti adattartalmú támogatási kérelmek adatai és a vámhatóság a 2. melléklet szerinti adatokra is kiterjedő – az adózás rendjéről szóló 2003. évi XCII. törvény (a továbbiakban: Art.) 54. § (1) bekezdés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pontjával és a (3) bekezdésével összhangban nyújtott – adatszolgáltatása alapján a mezőgazdasági termelő mezőgazdasági de minimis támogatásra való jogosultságát ellenőrzi.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(1) bekezdésben foglaltak alapján, valamint a mezőgazdasági de minimis támogatásra vonatkozó uniós jogi aktusban foglalt keretek figyelembevételével az MVH a 3. melléklet szerint kiszámítja a jóváhagyható támogatás összegét és dönt a támogatási kérelemről.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mezőgazdasági de minimis támogatási kérelem alapján indult eljárásban hiánypótlásra nincs lehetőség.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</w:t>
      </w:r>
      <w:bookmarkStart w:id="12" w:name="foot_12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"foot12"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12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2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MVH köteles döntésében tájékoztatni a támogatásra jogosultat a támogatás összegéről és annak mezőgazdasági de minimis támogatás jellegéről. A döntésben utalnia kell az Európai Unió működéséről szóló szerződés 107. és 108. cikkének a mezőgazdasági ágazatban nyújtott csekély összegű támogatásokra való alkalmazásáról szóló, 2013. december 18-i 1408/2013/EU bizottsági rendelet (a továbbiakban: mezőgazdasági de minimis támogatásról szóló bizottsági rendelet) pontos címére, az Európai Unió Hivatalos Lapjában való kihirdetése napjára, továbbá meg kell határozni a támogatás összegét forintban és euróban is kifejezve.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(5) Az MVH a (2) bekezdés szerinti döntés meghozatalát követően – az eljárási törvény 60. §-ának (2) bekezdésében foglaltakra is figyelemmel – legkésőbb a </w:t>
      </w: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forrás rendelkezésre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állásától számított negyvenöt napon belül intézkedik a támogatás kifizetéséről.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(6)</w:t>
      </w:r>
      <w:bookmarkStart w:id="13" w:name="foot_13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"foot13"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13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3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Ha az e rendelet keretében megállapított jogos támogatás a mezőgazdasági termelő által igénybe vett más mezőgazdasági de minimis támogatásokkal együttesen meghaladja a mezőgazdasági de minimis támogatásról szóló bizottsági rendeletben meghatározott egyéni keretet, akkor az egyéni keretet meghaladó részt az MVH elutasítja.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támogatás nyilvántartása és ellenőrzése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7.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</w:t>
      </w:r>
      <w:bookmarkStart w:id="14" w:name="foot_14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"foot14"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14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4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 rendelet vonatkozásában a mezőgazdasági de minimis támogatásról szóló bizottsági rendelet 6. cikk 4. pontja szerinti nyilvántartást az MVH vezeti.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MVH jogosult ellenőrizni az e rendelet szerinti támogatás feltételeinek való megfelelést.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Amennyiben a vámhatóság utólagos ellenőrzés keretében megállapítja a 3. §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pontja szerinti jövedékiadó-visszatérítési igény jogosulatlanságát, úgy az e rendelet szerinti támogatás igénybevétele is jogosulatlannak minősül. A 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vámhatóság a jövedékiadó-visszatérítési igény jogosulatlanságát megállapító jogerős döntéséről tájékoztatja az MVH-t is.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Amennyiben a mezőgazdasági termelő az Art. szerinti önellenőrzés alapján – a földhasználatra vonatkozó adat módosításából adódóan – kevesebb jövedékiadó-visszatérítésre jogosult, mint amelyet a vámhatóság a 3. §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 szerint teljesített, vagy jövedékiadó-visszatérítésre egyáltalán nem jogosult, úgy az e rendelet szerinti támogatás igénybevételének egy része vagy egésze jogosulatlannak minősül. A vámhatóság az előzőek szerinti önellenőrzés keretében módosított adatokról is tájékoztatja az MVH-t.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(5) Amennyiben a mezőgazdasági termelő az Art. szerinti önellenőrzés alapján – a földhasználatra vonatkozó adat módosításából adódóan – magasabb összegű jövedékiadó-visszatérítésre jogosult, mint amelyet a vámhatóság a 3. §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 szerint teljesített, úgy az az e rendelet szerinti támogatási kérelem módosításának minősül. A vámhatóság az előzőek szerinti önellenőrzés keretében módosított adatokról is tájékoztatást küld az MVH részére.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(6) Az MVH az intézkedésben való jogosulatlan részvétel megállapítása esetén az intézkedésben való jogosulatlan részvételt megállapító jogerős döntéséről tájékoztatja a vámhatóságot is.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Záró rendelkezések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8. §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Ez a rendelet 2013. január 1-jén lép hatályba.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9. §</w:t>
      </w:r>
      <w:bookmarkStart w:id="15" w:name="foot_15_place"/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"foot15" </w:instrText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b/>
          <w:bCs/>
          <w:color w:val="0000FF"/>
          <w:sz w:val="27"/>
          <w:szCs w:val="27"/>
          <w:u w:val="single"/>
          <w:vertAlign w:val="superscript"/>
          <w:lang w:eastAsia="hu-HU"/>
        </w:rPr>
        <w:t>15</w:t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5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Ez a rendelet az Európai Unió működéséről szóló szerződés 107. és 108. cikkének a mezőgazdasági ágazatban nyújtott csekély összegű támogatásokra való alkalmazásáról szóló, 2013. december 18-i 1408/2013/EU bizottsági rendelet hatálya alá tartozó támogatást tartalmaz.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10. §</w:t>
      </w:r>
      <w:bookmarkStart w:id="16" w:name="foot_16_place"/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"foot16" </w:instrText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b/>
          <w:bCs/>
          <w:color w:val="0000FF"/>
          <w:sz w:val="27"/>
          <w:szCs w:val="27"/>
          <w:u w:val="single"/>
          <w:vertAlign w:val="superscript"/>
          <w:lang w:eastAsia="hu-HU"/>
        </w:rPr>
        <w:t>16</w:t>
      </w: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6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 rendeletnek az egyes agrártámogatási tárgyú miniszteri rendeleteknek az általános és a mezőgazdasági csekély összegű (de minimis) támogatás közösségi feltételeinek változásával összefüggő módosításáról szóló 36/2014. (IV. 4.) VM rendelettel megállapított 5. § (1) bekezdés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bevallás első alkalommal a 2014. évre vonatkozó IV. negyedéves bevallás részeként nyújtható be.</w:t>
      </w:r>
    </w:p>
    <w:p w:rsidR="00071E85" w:rsidRPr="00071E85" w:rsidRDefault="00071E85" w:rsidP="00071E85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  <w:t>1. melléklet a 91/2012. (VIII. 29.) VM rendelethez</w:t>
      </w:r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Támogatási kérelem adattartalma a szőlő- és gyümölcsös ültetvények műveléséhez nyújtott csekély összegű (de minimis) támogatás igényléséhez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</w:t>
      </w:r>
      <w:bookmarkStart w:id="17" w:name="foot_17_place"/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"http://njt.hu/cgi_bin/njt_doc.cgi?docid=154086.263258" \l "foot17"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17</w:t>
      </w:r>
      <w:r w:rsidRPr="00071E85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17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mezőgazdasági termelő ügyfél-azonosítója.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 A támogatás igényléséhez felhasznált számlák alapján: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számla száma;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számla kelte;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számlákkal alátámasztott gázolaj-felhasználás éve;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számlán feltüntetett gázolaj mennyisége literben;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e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támogatás alapját képző gázolaj mennyisége literben.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 A kérelmező 5. § (3) bekezdés szerinti nyilatkozatai;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4. Keltezés és a kérelmező aláírása.</w:t>
      </w:r>
    </w:p>
    <w:p w:rsidR="00071E85" w:rsidRPr="00071E85" w:rsidRDefault="00071E85" w:rsidP="00071E85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  <w:t>2. melléklet a 91/2012. (VIII. 29.) VM rendelethez</w:t>
      </w:r>
      <w:bookmarkStart w:id="18" w:name="foot_18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"http://njt.hu/cgi_bin/njt_doc.cgi?docid=154086.263258" \l "foot18"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18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18"/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vámhatóság adó-visszatérítéssel kapcsolatos adatszolgáltatásának adattartalma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 A mezőgazdasági termelő neve, lakhely/székhely címe, adószáma/adóazonosító jele.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 A támogatási kérelem benyújtásának időpontja.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 Jövedékiadó-visszatérítésre való jogosultságról szóló döntések eredménye és a jövedékiadó-visszatérítésről szóló döntések meghozatalának időpontja.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4. A mezőgazdasági termelő által az adóbevallási nyomtatványon bejelentett, termőföldterületre vonatkozó adatok: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tárgyévben megművelt szőlőterület elhelyezkedése, nagysága (település, helyrajzi szám, területméret hektárban, kéttizedes pontossággal megadva);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tárgyévben megművelt gyümölcsterület elhelyezkedése, nagysága (település, helyrajzi szám, területméret hektárban, kéttizedes pontossággal megadva).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5. Az éves adóbevallás részeként benyújtott igénylés esetén a jövedékiadó-visszatérítés alapját képező, a IV. negyedéves adóbevallás részeként benyújtott igénylés esetén a tárgyévi teljes jövedékiadó-visszatérítés alapját képező számlaadatok [a mezőgazdaságban felhasznált gázolaj utáni jövedékiadó-visszatérítés feltételeiről és szabályairól szóló 341/2007. (XII. 15.) Korm. rendelet alapján történő jövedéki adó visszaigényléséhez a szőlő- és gyümölcsös ágazatban felhasznált számlák alapján a Nemzeti Adó- és Vámhivatal vámszerve által igazolt]: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számla száma;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számla kelte;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számlákkal alátámasztott gázolaj-felhasználás éve;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számlán feltüntetett gázolaj mennyisége literben;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e</w:t>
      </w:r>
      <w:proofErr w:type="gramEnd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visszatérítés alapját képző gázolaj mennyisége literben.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6. Az éves adóbevallás részeként benyújtott igénylés esetén a jövedékiadó-visszatérítés alapját képező, a IV. negyedéves adóbevallás részeként benyújtott igénylés esetén a tárgyévi teljes jövedékiadó-visszatérítés alapját képező gázolaj 1 hektárra jutó mennyisége (liter/hektár).</w:t>
      </w:r>
    </w:p>
    <w:p w:rsidR="00071E85" w:rsidRPr="00071E85" w:rsidRDefault="00071E85" w:rsidP="00071E85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</w:pP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  <w:t>3. melléklet a 91/2012. (VIII. 29.) VM rendelethez</w:t>
      </w:r>
      <w:bookmarkStart w:id="19" w:name="foot_19_place"/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"http://njt.hu/cgi_bin/njt_doc.cgi?docid=154086.263258" \l "foot19" </w:instrTex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071E85">
        <w:rPr>
          <w:rFonts w:ascii="Times" w:eastAsia="Times New Roman" w:hAnsi="Times" w:cs="Times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19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19"/>
    </w:p>
    <w:p w:rsidR="00071E85" w:rsidRPr="00071E85" w:rsidRDefault="00071E85" w:rsidP="00071E85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támogatás kiszámításának módja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 = t (ha) x Q (l/ha) x 95 (Ft/l)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ahol</w:t>
      </w:r>
      <w:proofErr w:type="gramEnd"/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T: a támogatás számított összege;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 az ültetvény területe hektárban (két tizedesjegy pontossággal);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Q: a ténylegesen felhasznált üzemanyag-mennyisége csökkentve a jövedéki adóról és a jövedéki termékek forgalmazásának különös szabályairól szóló 2003. 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évi CXXVII. törvény 129. § (1) bekezdésének </w:t>
      </w:r>
      <w:r w:rsidRPr="00071E85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pontjában meghatározott 97 liter/hektár mennyiséggel, de legfeljebb 100 l/ha/év.</w:t>
      </w:r>
    </w:p>
    <w:p w:rsidR="00071E85" w:rsidRPr="00071E85" w:rsidRDefault="00071E85" w:rsidP="00071E8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támogatás összege nem haladhatja meg a folyó, valamint a megelőző kettő pénzügyi év vonatkozásában a 15000 eurónak megfelelő forintösszeget, így a támogatási összeg kiszámításakor a korábban kapott mezőgazdasági de minimis támogatások összegét is figyelembe kell venni és szükség szerint azokkal a támogatás összegét csökkenteni kell.</w:t>
      </w:r>
    </w:p>
    <w:p w:rsidR="00071E85" w:rsidRPr="00071E85" w:rsidRDefault="00071E85" w:rsidP="00071E85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20" w:name="foot1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0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1. § a) pontja a 36/2014. (IV. 4.) VM rendelet 63. § (1) bekezdésével megállapított szöveg.</w:t>
      </w:r>
    </w:p>
    <w:bookmarkStart w:id="21" w:name="foot2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"foot_2_place"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2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1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1. § b) pontja a 36/2014. (IV. 4.) VM rendelet 63. § (1) bekezdésével megállapított szöveg.</w:t>
      </w:r>
    </w:p>
    <w:bookmarkStart w:id="22" w:name="foot3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"foot_3_place"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3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2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1. § c) pontját a 36/2014. (IV. 4.) VM rendelet 71. §-a hatályon kívül helyezte.</w:t>
      </w:r>
    </w:p>
    <w:bookmarkStart w:id="23" w:name="foot4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"foot_4_place"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4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3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1. § d) pontja a 36/2014. (IV. 4.) VM rendelet 63. § (2) bekezdésével megállapított szöveg.</w:t>
      </w:r>
    </w:p>
    <w:bookmarkStart w:id="24" w:name="foot5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"foot_5_place"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5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4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3. § b) pontja a 36/2014. (IV. 4.) VM rendelet 64. §-ával megállapított szöveg.</w:t>
      </w:r>
    </w:p>
    <w:bookmarkStart w:id="25" w:name="foot6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"foot_6_place"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6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5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3. § c) pont cc) alpontját a 36/2014. (IV. 4.) VM rendelet 71. §-a hatályon kívül helyezte.</w:t>
      </w:r>
    </w:p>
    <w:bookmarkStart w:id="26" w:name="foot7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"foot_7_place"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7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6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5. § (1) bekezdése a 36/2014. (IV. 4.) VM rendelet 65. § (1) bekezdésével megállapított szöveg.</w:t>
      </w:r>
    </w:p>
    <w:bookmarkStart w:id="27" w:name="foot8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"foot_8_place"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8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7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5. § (2) bekezdését a 36/2014. (IV. 4.) VM rendelet 71. §-a hatályon kívül helyezte.</w:t>
      </w:r>
    </w:p>
    <w:bookmarkStart w:id="28" w:name="foot9"/>
    <w:p w:rsidR="00071E85" w:rsidRPr="00071E85" w:rsidRDefault="00071E85" w:rsidP="00071E85">
      <w:pPr>
        <w:pBdr>
          <w:left w:val="single" w:sz="36" w:space="3" w:color="FF0000"/>
        </w:pBd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"foot_9_place"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9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8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5. § (3) bekezdés c) pontját az 54/2014. (IV. 29.) VM rendelet 10. §-a hatályon kívül helyezte.</w:t>
      </w:r>
    </w:p>
    <w:bookmarkStart w:id="29" w:name="foot10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"foot_10_place"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10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29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5. § (4) bekezdését a 36/2014. (IV. 4.) VM rendelet 65. § (2) bekezdése iktatta be.</w:t>
      </w:r>
    </w:p>
    <w:bookmarkStart w:id="30" w:name="foot11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"foot_11_place"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11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0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5/</w:t>
      </w: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§-t a 36/2014. (IV. 4.) VM rendelet 66. §-</w:t>
      </w: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iktatta be.</w:t>
      </w:r>
    </w:p>
    <w:bookmarkStart w:id="31" w:name="foot12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"foot_12_place"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12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1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6. § (4) bekezdése a 36/2014. (IV. 4.) VM rendelet 70. § a) pontja szerint módosított szöveg.</w:t>
      </w:r>
    </w:p>
    <w:bookmarkStart w:id="32" w:name="foot13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"foot_13_place"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13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2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6. § (6) bekezdése a 36/2014. (IV. 4.) VM rendelet 70. § b) pontja szerint módosított szöveg.</w:t>
      </w:r>
    </w:p>
    <w:bookmarkStart w:id="33" w:name="foot14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"foot_14_place"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14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3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7. § (1) bekezdése a 36/2014. (IV. 4.) VM rendelet 70. § c) pontja szerint módosított szöveg.</w:t>
      </w:r>
    </w:p>
    <w:bookmarkStart w:id="34" w:name="foot15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"foot_15_place"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15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4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9. § a 36/2014. (IV. 4.) VM rendelet 67. §-ával megállapított szöveg.</w:t>
      </w:r>
    </w:p>
    <w:bookmarkStart w:id="35" w:name="foot16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"foot_16_place"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16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5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10. § a 2010: CXXX. törvény 12. § (2) bekezdése alapján hatályát vesztette, újonnan a 36/2014. (IV. 4.) VM rendelet 68. §-</w:t>
      </w:r>
      <w:proofErr w:type="gramStart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iktatta be.</w:t>
      </w:r>
    </w:p>
    <w:bookmarkStart w:id="36" w:name="foot17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"foot_17_place"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17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6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1. melléklet 1. pontja a 36/2014. (IV. 4.) VM rendelet 70. § d) pontja szerint módosított szöveg.</w:t>
      </w:r>
    </w:p>
    <w:bookmarkStart w:id="37" w:name="foot18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"foot_18_place"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18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7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2. melléklet a 36/2014. (IV. 4.) VM rendelet 69. §-ával megállapított szöveg.</w:t>
      </w:r>
    </w:p>
    <w:bookmarkStart w:id="38" w:name="foot19"/>
    <w:p w:rsidR="00071E85" w:rsidRPr="00071E85" w:rsidRDefault="00071E85" w:rsidP="00071E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"http://njt.hu/cgi_bin/njt_doc.cgi?docid=154086.263258" \l "foot_19_place" </w:instrTex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071E85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19</w:t>
      </w:r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38"/>
      <w:r w:rsidRPr="00071E8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3. melléklet a 36/2014. (IV. 4.) VM rendelet 70. § e) pontja szerint módosított szöveg.</w:t>
      </w:r>
    </w:p>
    <w:p w:rsidR="00071E85" w:rsidRPr="00071E85" w:rsidRDefault="00071E85" w:rsidP="00071E85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071E85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071E85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r:id="rId9" w:history="1">
        <w:proofErr w:type="gramStart"/>
        <w:r w:rsidRPr="00071E85">
          <w:rPr>
            <w:rFonts w:ascii="Verdana" w:eastAsia="Times New Roman" w:hAnsi="Verdana" w:cs="Times New Roman"/>
            <w:color w:val="969696"/>
            <w:sz w:val="17"/>
            <w:szCs w:val="17"/>
            <w:lang w:eastAsia="hu-HU"/>
          </w:rPr>
          <w:t>A</w:t>
        </w:r>
        <w:proofErr w:type="gramEnd"/>
        <w:r w:rsidRPr="00071E85">
          <w:rPr>
            <w:rFonts w:ascii="Verdana" w:eastAsia="Times New Roman" w:hAnsi="Verdana" w:cs="Times New Roman"/>
            <w:color w:val="969696"/>
            <w:sz w:val="17"/>
            <w:szCs w:val="17"/>
            <w:lang w:eastAsia="hu-HU"/>
          </w:rPr>
          <w:t xml:space="preserve"> Nemzeti Jogszabálytárban elérhető szövegek tekintetében a Közlönykiadó minden jogot fenntart!</w:t>
        </w:r>
      </w:hyperlink>
    </w:p>
    <w:bookmarkEnd w:id="0"/>
    <w:p w:rsidR="003C04AC" w:rsidRPr="00071E85" w:rsidRDefault="003C04AC" w:rsidP="00071E85"/>
    <w:sectPr w:rsidR="003C04AC" w:rsidRPr="0007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3"/>
    <w:rsid w:val="00071E85"/>
    <w:rsid w:val="003C04AC"/>
    <w:rsid w:val="00A340BB"/>
    <w:rsid w:val="00FE65D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071E85"/>
  </w:style>
  <w:style w:type="paragraph" w:styleId="NormlWeb">
    <w:name w:val="Normal (Web)"/>
    <w:basedOn w:val="Norml"/>
    <w:uiPriority w:val="99"/>
    <w:semiHidden/>
    <w:unhideWhenUsed/>
    <w:rsid w:val="0007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1E85"/>
    <w:rPr>
      <w:color w:val="0000FF"/>
      <w:u w:val="single"/>
    </w:rPr>
  </w:style>
  <w:style w:type="paragraph" w:customStyle="1" w:styleId="uj">
    <w:name w:val="uj"/>
    <w:basedOn w:val="Norml"/>
    <w:rsid w:val="0007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07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071E85"/>
  </w:style>
  <w:style w:type="paragraph" w:styleId="NormlWeb">
    <w:name w:val="Normal (Web)"/>
    <w:basedOn w:val="Norml"/>
    <w:uiPriority w:val="99"/>
    <w:semiHidden/>
    <w:unhideWhenUsed/>
    <w:rsid w:val="0007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1E85"/>
    <w:rPr>
      <w:color w:val="0000FF"/>
      <w:u w:val="single"/>
    </w:rPr>
  </w:style>
  <w:style w:type="paragraph" w:customStyle="1" w:styleId="uj">
    <w:name w:val="uj"/>
    <w:basedOn w:val="Norml"/>
    <w:rsid w:val="0007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07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31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954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392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094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78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5973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22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467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03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360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937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640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99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391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682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0095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8135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467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396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1972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6560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33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1422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54086.2632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2712</Words>
  <Characters>18713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</dc:creator>
  <cp:lastModifiedBy>Móni</cp:lastModifiedBy>
  <cp:revision>2</cp:revision>
  <cp:lastPrinted>2015-07-06T07:41:00Z</cp:lastPrinted>
  <dcterms:created xsi:type="dcterms:W3CDTF">2015-07-06T07:08:00Z</dcterms:created>
  <dcterms:modified xsi:type="dcterms:W3CDTF">2015-07-06T07:41:00Z</dcterms:modified>
</cp:coreProperties>
</file>